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Y="195"/>
        <w:tblW w:w="1416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240"/>
        <w:gridCol w:w="5021"/>
        <w:gridCol w:w="7317"/>
        <w:gridCol w:w="5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2F2F2F"/>
              </w:rPr>
              <w:t>考核项目</w:t>
            </w: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2F2F2F"/>
              </w:rPr>
              <w:t>考核内容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2F2F2F"/>
              </w:rPr>
              <w:t>评分办法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 w:line="360" w:lineRule="auto"/>
              <w:jc w:val="center"/>
            </w:pPr>
            <w:r>
              <w:rPr>
                <w:rStyle w:val="5"/>
                <w:rFonts w:hint="eastAsia" w:ascii="宋体" w:hAnsi="宋体" w:eastAsia="宋体" w:cs="宋体"/>
                <w:color w:val="2F2F2F"/>
              </w:rPr>
              <w:t>杨卫红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810" w:hRule="atLeast"/>
        </w:trPr>
        <w:tc>
          <w:tcPr>
            <w:tcW w:w="12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一、理想信念</w:t>
            </w:r>
          </w:p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（40分）</w:t>
            </w: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参加校党委组织的各项学习、工作会议情况（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积极参加校党委组织的支部书记培训、党员培训、党务专题会议等。缺席会议扣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参加党总支、党支部组织的会议情况（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积极参加政治理论学习、“三会一课”、组织生活会、换届选举（补选）会议等。缺席会议扣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积极利用“学习强国”平台，开展党的创新理论学习情况。（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注册得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分，未注册不得分。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日均学习积分达到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30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分，且学习成绩在支部内排名前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30%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，奖励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分；日均学习积分达到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30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分，排名未达到前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30%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分；日均学习积分未达到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30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分，不得分。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4.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按时参加支部开展的民主评议党员活动。（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缺席民主评议党员会议，扣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评选结果获得优秀格次得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分；合格格次得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分；基本合格格次得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分；不合格不得分。</w:t>
            </w:r>
          </w:p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预备党员不确定格次，按基本合格格次给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党员个人信息和组织关系信息与工作所属单位相符度达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100%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信息系统、党员花名册中信息完整度未达到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100%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，扣除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项，扣完为止。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党员信息内容与个人真实信息不相符扣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项，扣完为止。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党员组织关系所在单位与个人工作单位不相符，扣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Times New Roman" w:hAnsi="Times New Roman" w:eastAsia="宋体"/>
                <w:color w:val="2F2F2F"/>
                <w:sz w:val="22"/>
                <w:szCs w:val="22"/>
              </w:rPr>
              <w:t>人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6.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按月足额交纳党费。（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每月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日前上交党费，有迟交、少交、不交党费现象，扣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次，扣完为止。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2F2F2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2F2F2F"/>
                <w:szCs w:val="21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 </w:t>
            </w:r>
          </w:p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二、服务群众（10分）</w:t>
            </w: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积极承担党内职务，按时完成组织交给的工作任务。（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承担党内职务（党总支、党支部委员），得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分；未担任职务不得分。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5  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充分发挥“双带头人”模范作用。（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“双带头人”（党建带头人、学术带头人），奖励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分；非“双带头人”不得分。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5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三、先锋模范</w:t>
            </w:r>
          </w:p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（35分）</w:t>
            </w:r>
          </w:p>
        </w:tc>
        <w:tc>
          <w:tcPr>
            <w:tcW w:w="50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参加学校党群部门、所在党总支组织的各项活动情况（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参加主题党日活动、纪念建国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70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周年、纪念五四运动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周年、“不忘记初心、牢记使命”学习教育活动、“两学一做”学习教育活动等。学校级别活动加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次，党总支级别活动加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次，党支部、部门级别活动加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次，加满为止。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5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年终工会活动量化评分结果在党支部占前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30%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31%-50%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分，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51%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以后不得分。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做教书育人、管理育人、服务育人表率，为学校做出突出贡献或有先进事迹受到学院以上表扬（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有省级（及省级以上）荣誉得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分；有校级荣誉得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分；有部门级荣誉得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分；无荣誉不得分。</w:t>
            </w:r>
          </w:p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荣誉包含：奖项（个人、集体）、表彰、事迹宣传等相关的证书、文件、新闻。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10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3.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工作认真，态度端正，业绩突出。（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年度绩效考核优秀，得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分；绩效考核合格一档，得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7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分；绩效考核合格二档，得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分；绩效考核合格三档，得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960" w:hRule="atLeast"/>
        </w:trPr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4.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关心学院改革和发展，积极开展科学研究。（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国家级项目立项、论文，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篇；省部级立项、中文核心期刊论文，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篇；地厅级立项、新乡医学院三全学院学报论文，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/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篇。加满为止。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 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宋体" w:hAnsi="宋体" w:eastAsia="宋体" w:cs="宋体"/>
                <w:bCs/>
                <w:color w:val="2F2F2F"/>
              </w:rPr>
              <w:t>四、廉洁自律（15分）</w:t>
            </w: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1.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积极参加上级党组织举办的反腐倡廉相关的廉政文化作品、征文、优秀案例征集等活动。（</w:t>
            </w:r>
            <w:r>
              <w:rPr>
                <w:rFonts w:ascii="Times New Roman" w:hAnsi="Times New Roman" w:eastAsia="微软雅黑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荣获省级以上奖项：一等奖（特等奖）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分；参加项目未获奖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分。</w:t>
            </w:r>
          </w:p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荣获校级奖项：一等奖（特等奖）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4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分；参加项目未获奖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分。</w:t>
            </w:r>
          </w:p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荣获部门级奖项：一等奖（特等奖）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3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分；二等奖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分；三等奖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分；参加项目未获奖不得分。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2F2F2F"/>
                <w:szCs w:val="21"/>
              </w:rPr>
            </w:pPr>
          </w:p>
        </w:tc>
        <w:tc>
          <w:tcPr>
            <w:tcW w:w="5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2.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严格遵守学校各项规章制度，在意识形态、师德师风、廉洁自律、劳动纪律、教学管理等方面，全年无违法违纪现象，未受到任何通报批评及处分。（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分）</w:t>
            </w:r>
          </w:p>
        </w:tc>
        <w:tc>
          <w:tcPr>
            <w:tcW w:w="7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beforeAutospacing="0" w:afterAutospacing="0"/>
            </w:pP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校级及校级以上通报批评或处分扣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10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分；部门级扣</w:t>
            </w:r>
            <w:r>
              <w:rPr>
                <w:rFonts w:ascii="Calibri" w:hAnsi="Calibri" w:eastAsia="Calibri" w:cs="Calibri"/>
                <w:color w:val="2F2F2F"/>
                <w:sz w:val="22"/>
                <w:szCs w:val="22"/>
              </w:rPr>
              <w:t>5</w:t>
            </w:r>
            <w:r>
              <w:rPr>
                <w:rFonts w:hint="eastAsia" w:ascii="Calibri" w:hAnsi="Calibri" w:eastAsia="宋体" w:cs="宋体"/>
                <w:color w:val="2F2F2F"/>
                <w:sz w:val="22"/>
                <w:szCs w:val="22"/>
              </w:rPr>
              <w:t>分；无处分不扣分。</w:t>
            </w:r>
          </w:p>
        </w:tc>
        <w:tc>
          <w:tcPr>
            <w:tcW w:w="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widowControl/>
              <w:adjustRightInd w:val="0"/>
              <w:snapToGrid w:val="0"/>
              <w:spacing w:beforeAutospacing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2F2F2F"/>
                <w:sz w:val="21"/>
                <w:szCs w:val="21"/>
              </w:rPr>
              <w:t> 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35AA4"/>
    <w:rsid w:val="0024748E"/>
    <w:rsid w:val="00492857"/>
    <w:rsid w:val="0B1F6C53"/>
    <w:rsid w:val="1BBB4E8B"/>
    <w:rsid w:val="1D735AA4"/>
    <w:rsid w:val="4361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800080"/>
      <w:u w:val="none"/>
    </w:rPr>
  </w:style>
  <w:style w:type="character" w:styleId="7">
    <w:name w:val="Hyperlink"/>
    <w:basedOn w:val="4"/>
    <w:qFormat/>
    <w:uiPriority w:val="0"/>
    <w:rPr>
      <w:color w:val="0000FF"/>
      <w:u w:val="none"/>
    </w:rPr>
  </w:style>
  <w:style w:type="character" w:customStyle="1" w:styleId="8">
    <w:name w:val="item-name"/>
    <w:basedOn w:val="4"/>
    <w:qFormat/>
    <w:uiPriority w:val="0"/>
  </w:style>
  <w:style w:type="character" w:customStyle="1" w:styleId="9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fktui.com</Company>
  <Pages>3</Pages>
  <Words>245</Words>
  <Characters>1400</Characters>
  <Lines>11</Lines>
  <Paragraphs>3</Paragraphs>
  <TotalTime>6</TotalTime>
  <ScaleCrop>false</ScaleCrop>
  <LinksUpToDate>false</LinksUpToDate>
  <CharactersWithSpaces>1642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2019-05-22T02:50:00Z</dcterms:created>
  <dc:creator>Administrator</dc:creator>
  <cp:lastModifiedBy>不喜皱眉</cp:lastModifiedBy>
  <dcterms:modified xsi:type="dcterms:W3CDTF">2019-06-13T04:46:28Z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